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AB234" w14:textId="50F93C23" w:rsidR="000B63F5" w:rsidRPr="000B63F5" w:rsidRDefault="000B63F5" w:rsidP="00AB442A">
      <w:pPr>
        <w:pStyle w:val="Ttulo2"/>
        <w:tabs>
          <w:tab w:val="left" w:pos="7695"/>
        </w:tabs>
        <w:spacing w:line="36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</w:rPr>
        <w:t>1</w:t>
      </w:r>
      <w:r w:rsidRPr="000B63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>. Introdução</w:t>
      </w:r>
      <w:r w:rsidR="00B90B4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pt-BR" w:eastAsia="pt-BR" w:bidi="ar-SA"/>
        </w:rPr>
        <w:tab/>
      </w:r>
    </w:p>
    <w:p w14:paraId="16F34E5C" w14:textId="37352EFB" w:rsidR="000B63F5" w:rsidRPr="000B63F5" w:rsidRDefault="000B63F5" w:rsidP="00AB442A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objetivo deste documento, fundamentado na norma de referência: ABNT NBR 14724:2018, é auxiliar os autores sobre o formato a ser utilizado nos artigos submetidos ao ENEGEP 202</w:t>
      </w:r>
      <w:r w:rsidR="002B3092">
        <w:rPr>
          <w:color w:val="333333"/>
          <w:sz w:val="24"/>
          <w:szCs w:val="24"/>
          <w:lang w:val="pt-BR" w:eastAsia="pt-BR" w:bidi="ar-SA"/>
        </w:rPr>
        <w:t>3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Este documento está escrito de acordo com o modelo indicado para os artigos, assim, serve de referência, ao mesmo tempo em que comenta os diversos aspectos da formatação. </w:t>
      </w:r>
      <w:proofErr w:type="gramStart"/>
      <w:r w:rsidRPr="000B63F5">
        <w:rPr>
          <w:color w:val="333333"/>
          <w:sz w:val="24"/>
          <w:szCs w:val="24"/>
          <w:lang w:val="pt-BR" w:eastAsia="pt-BR" w:bidi="ar-SA"/>
        </w:rPr>
        <w:t>Houve</w:t>
      </w:r>
      <w:r w:rsidR="00B90B41">
        <w:rPr>
          <w:color w:val="333333"/>
          <w:sz w:val="24"/>
          <w:szCs w:val="24"/>
          <w:lang w:val="pt-BR" w:eastAsia="pt-BR" w:bidi="ar-SA"/>
        </w:rPr>
        <w:t>ram</w:t>
      </w:r>
      <w:proofErr w:type="gramEnd"/>
      <w:r w:rsidRPr="000B63F5">
        <w:rPr>
          <w:color w:val="333333"/>
          <w:sz w:val="24"/>
          <w:szCs w:val="24"/>
          <w:lang w:val="pt-BR" w:eastAsia="pt-BR" w:bidi="ar-SA"/>
        </w:rPr>
        <w:t xml:space="preserve"> pequenas modificações em seu formato</w:t>
      </w:r>
      <w:r w:rsidR="00AB442A">
        <w:rPr>
          <w:color w:val="333333"/>
          <w:sz w:val="24"/>
          <w:szCs w:val="24"/>
          <w:lang w:val="pt-BR" w:eastAsia="pt-BR" w:bidi="ar-SA"/>
        </w:rPr>
        <w:t xml:space="preserve"> esse ano</w:t>
      </w:r>
      <w:r w:rsidRPr="000B63F5">
        <w:rPr>
          <w:color w:val="333333"/>
          <w:sz w:val="24"/>
          <w:szCs w:val="24"/>
          <w:lang w:val="pt-BR" w:eastAsia="pt-BR" w:bidi="ar-SA"/>
        </w:rPr>
        <w:t>, portanto sugere-se sua leitura atenta.</w:t>
      </w:r>
    </w:p>
    <w:p w14:paraId="0F11CE4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Observe as instruções e formate seu artigo de acordo com este padrão. Recomenda-se, para isso, o uso dos estilos de formatação pré-definidos que constam deste documento. Para tanto, basta copiar e colar os textos do original diretamente em uma cópia deste documento.</w:t>
      </w:r>
    </w:p>
    <w:p w14:paraId="39225B3F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Lembre-se que uma formatação correta é essencial para uma boa avaliação do seu trabalho. Artigos fora da formatação serão retirados do processo de avaliação.</w:t>
      </w:r>
    </w:p>
    <w:p w14:paraId="76134C3C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D609D8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2. Formatação geral</w:t>
      </w:r>
    </w:p>
    <w:p w14:paraId="5E87DDBE" w14:textId="4501D5B8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Este texto apresenta apenas o corpo do artigo. Portanto, ele não deve conter Título, Autores, Resumo e Palavras-chave. Esses elementos </w:t>
      </w:r>
      <w:r w:rsidR="00AB442A">
        <w:rPr>
          <w:color w:val="333333"/>
          <w:sz w:val="24"/>
          <w:szCs w:val="24"/>
          <w:lang w:val="pt-BR" w:eastAsia="pt-BR" w:bidi="ar-SA"/>
        </w:rPr>
        <w:t>deverão ser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inseridos </w:t>
      </w:r>
      <w:r w:rsidR="00AB442A">
        <w:rPr>
          <w:color w:val="333333"/>
          <w:sz w:val="24"/>
          <w:szCs w:val="24"/>
          <w:lang w:val="pt-BR" w:eastAsia="pt-BR" w:bidi="ar-SA"/>
        </w:rPr>
        <w:t>no arquivo chamado capa, que será submetido conjuntamente.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Os dados de autoria do arquivo devem estar em branco</w:t>
      </w:r>
      <w:r w:rsidR="00AB442A">
        <w:rPr>
          <w:color w:val="333333"/>
          <w:sz w:val="24"/>
          <w:szCs w:val="24"/>
          <w:lang w:val="pt-BR" w:eastAsia="pt-BR" w:bidi="ar-SA"/>
        </w:rPr>
        <w:t xml:space="preserve"> (ao salvar o documento em PDF)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O </w:t>
      </w:r>
      <w:r w:rsidR="00B76A43">
        <w:rPr>
          <w:color w:val="333333"/>
          <w:sz w:val="24"/>
          <w:szCs w:val="24"/>
          <w:lang w:val="pt-BR" w:eastAsia="pt-BR" w:bidi="ar-SA"/>
        </w:rPr>
        <w:t>corpo do art</w:t>
      </w:r>
      <w:r w:rsidRPr="000B63F5">
        <w:rPr>
          <w:color w:val="333333"/>
          <w:sz w:val="24"/>
          <w:szCs w:val="24"/>
          <w:lang w:val="pt-BR" w:eastAsia="pt-BR" w:bidi="ar-SA"/>
        </w:rPr>
        <w:t>igo</w:t>
      </w:r>
      <w:r w:rsidR="00B76A43">
        <w:rPr>
          <w:color w:val="333333"/>
          <w:sz w:val="24"/>
          <w:szCs w:val="24"/>
          <w:lang w:val="pt-BR" w:eastAsia="pt-BR" w:bidi="ar-SA"/>
        </w:rPr>
        <w:t xml:space="preserve"> deve conter de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</w:t>
      </w:r>
      <w:r w:rsidR="00B76A43" w:rsidRPr="00B76A43">
        <w:rPr>
          <w:color w:val="333333"/>
          <w:sz w:val="24"/>
          <w:szCs w:val="24"/>
          <w:lang w:val="pt-BR" w:eastAsia="pt-BR" w:bidi="ar-SA"/>
        </w:rPr>
        <w:t>8 a 14 páginas, inclusive contando com as referências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. Tabelas poderão ser tratadas como figuras, para não contar palavras, mas a qualidade </w:t>
      </w:r>
      <w:proofErr w:type="gramStart"/>
      <w:r w:rsidRPr="000B63F5">
        <w:rPr>
          <w:color w:val="333333"/>
          <w:sz w:val="24"/>
          <w:szCs w:val="24"/>
          <w:lang w:val="pt-BR" w:eastAsia="pt-BR" w:bidi="ar-SA"/>
        </w:rPr>
        <w:t>das mesmas</w:t>
      </w:r>
      <w:proofErr w:type="gramEnd"/>
      <w:r w:rsidRPr="000B63F5">
        <w:rPr>
          <w:color w:val="333333"/>
          <w:sz w:val="24"/>
          <w:szCs w:val="24"/>
          <w:lang w:val="pt-BR" w:eastAsia="pt-BR" w:bidi="ar-SA"/>
        </w:rPr>
        <w:t xml:space="preserve"> é de sua responsabilidade. Procure tratar imagens e tabelas para que estas não deixem seu arquivo muito grande.</w:t>
      </w:r>
    </w:p>
    <w:p w14:paraId="1D52A7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margens devem ser: superior e inferior de 1,2 cm e direita e esquerda de 2,5 cm. O tamanho de página deve ser A4, impreterivelmente. Por favor, verifique esse aspecto com especial cuidado.</w:t>
      </w:r>
    </w:p>
    <w:p w14:paraId="06EFCAEA" w14:textId="3DA1B58C" w:rsidR="000B63F5" w:rsidRPr="000B63F5" w:rsidRDefault="00B90B41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>
        <w:rPr>
          <w:color w:val="333333"/>
          <w:sz w:val="24"/>
          <w:szCs w:val="24"/>
          <w:lang w:val="pt-BR" w:eastAsia="pt-BR" w:bidi="ar-SA"/>
        </w:rPr>
        <w:t xml:space="preserve">O corpo do artigo deverá ser submetido em sua versão final, sendo assim, lembre-se de manter as informações de cabeçalho e salvar em </w:t>
      </w:r>
      <w:r w:rsidR="00B76A43">
        <w:rPr>
          <w:color w:val="333333"/>
          <w:sz w:val="24"/>
          <w:szCs w:val="24"/>
          <w:lang w:val="pt-BR" w:eastAsia="pt-BR" w:bidi="ar-SA"/>
        </w:rPr>
        <w:t>PDF</w:t>
      </w:r>
      <w:r>
        <w:rPr>
          <w:color w:val="333333"/>
          <w:sz w:val="24"/>
          <w:szCs w:val="24"/>
          <w:lang w:val="pt-BR" w:eastAsia="pt-BR" w:bidi="ar-SA"/>
        </w:rPr>
        <w:t xml:space="preserve"> no final. Não serão permitidas alterações após o prazo de submissão ter se encerrado.</w:t>
      </w:r>
      <w:r w:rsidR="000B63F5" w:rsidRPr="000B63F5">
        <w:rPr>
          <w:color w:val="333333"/>
          <w:sz w:val="24"/>
          <w:szCs w:val="24"/>
          <w:lang w:val="pt-BR" w:eastAsia="pt-BR" w:bidi="ar-SA"/>
        </w:rPr>
        <w:t xml:space="preserve"> Na sequência, passo a passo, serão especificados os detalhes da formatação.</w:t>
      </w:r>
    </w:p>
    <w:p w14:paraId="3848337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Atenção: Palavras de língua estrangeira devem ser escritas em itálico. </w:t>
      </w:r>
    </w:p>
    <w:p w14:paraId="44EA7E5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0"/>
          <w:szCs w:val="20"/>
          <w:lang w:val="pt-BR" w:eastAsia="pt-BR" w:bidi="ar-SA"/>
        </w:rPr>
      </w:pPr>
    </w:p>
    <w:p w14:paraId="72FDDF5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3. Títulos das seções</w:t>
      </w:r>
    </w:p>
    <w:p w14:paraId="106D0F1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títulos das seções do trabalho devem ser posicionados à esquerda, em negrito, numerados com algarismos arábicos (1, 2, 3, etc.) e somente com a primeira inicial maiúscula. Deve-se utilizar texto com fonte Times New Roman, tamanho 12, </w:t>
      </w:r>
      <w:smartTag w:uri="urn:schemas-microsoft-com:office:smarttags" w:element="PersonName">
        <w:smartTagPr>
          <w:attr w:name="ProductID" w:val="em negrito. N￣o"/>
        </w:smartTagPr>
        <w:r w:rsidRPr="000B63F5">
          <w:rPr>
            <w:color w:val="333333"/>
            <w:sz w:val="24"/>
            <w:szCs w:val="24"/>
            <w:lang w:val="pt-BR" w:eastAsia="pt-BR" w:bidi="ar-SA"/>
          </w:rPr>
          <w:t>em negrito. Não</w:t>
        </w:r>
      </w:smartTag>
      <w:r w:rsidRPr="000B63F5">
        <w:rPr>
          <w:color w:val="333333"/>
          <w:sz w:val="24"/>
          <w:szCs w:val="24"/>
          <w:lang w:val="pt-BR" w:eastAsia="pt-BR" w:bidi="ar-SA"/>
        </w:rPr>
        <w:t xml:space="preserve"> coloque ponto final </w:t>
      </w: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nos títulos. Entre os títulos deve-se inserir uma linha em branco mantida a formação de espaçamento 1,5 entre as linhas.</w:t>
      </w:r>
    </w:p>
    <w:p w14:paraId="42E928D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5D0BC7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3.1. Subtítulos das seções</w:t>
      </w:r>
    </w:p>
    <w:p w14:paraId="33DBCEF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subtítulos das seções do trabalho devem ser posicionados à esquerda, em negrito, numerados com algarismos arábicos em subtítulos (1.1, 1.2, 1.3, etc.) e somente com a primeira inicial maiúscula. Deve-se utilizar texto com fonte Times New Roman, tamanho 12, em negrito. Entre os subtítulos das seções não se insere nenhuma linha em branco, sendo mantida a formação de espaçamento 1,5 entre o parágrafo anterior e posterior ao subtítulo.</w:t>
      </w:r>
    </w:p>
    <w:p w14:paraId="129FC57B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1667BAC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b/>
          <w:color w:val="333333"/>
          <w:sz w:val="24"/>
          <w:szCs w:val="24"/>
          <w:lang w:val="pt-BR" w:eastAsia="pt-BR" w:bidi="ar-SA"/>
        </w:rPr>
      </w:pPr>
      <w:r w:rsidRPr="000B63F5">
        <w:rPr>
          <w:b/>
          <w:color w:val="333333"/>
          <w:sz w:val="24"/>
          <w:szCs w:val="24"/>
          <w:lang w:val="pt-BR" w:eastAsia="pt-BR" w:bidi="ar-SA"/>
        </w:rPr>
        <w:t>4. Corpo do texto</w:t>
      </w:r>
    </w:p>
    <w:p w14:paraId="2476306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corpo do texto deve iniciar imediatamente abaixo do título ou subtítulo das sessões. O corpo de texto utiliza fonte tipo Times New Roman, tamanho 12, justificado na direita e esquerda, com espaçamento 1,5 entre as linhas e parágrafos.</w:t>
      </w:r>
    </w:p>
    <w:p w14:paraId="652AAD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Notas de rodapé: não devem ser utilizadas notas de rodapé.</w:t>
      </w:r>
    </w:p>
    <w:p w14:paraId="315EB81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do uso de listas, deve-se usar o marcador que aparece a seguir:</w:t>
      </w:r>
    </w:p>
    <w:p w14:paraId="19C8E1D0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listas devem ser justificadas na direita e na esquerda, da mesma maneira que os trechos de corpo de texto;</w:t>
      </w:r>
    </w:p>
    <w:p w14:paraId="4A8B966B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os itens de uma lista, exceto no último item que deve possuir um ponto final;</w:t>
      </w:r>
    </w:p>
    <w:p w14:paraId="68166701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Caso se utilize uma lista deve-se manter o com espaçamento 1,5 entre as linhas;</w:t>
      </w:r>
    </w:p>
    <w:p w14:paraId="3E7A6CED" w14:textId="77777777" w:rsidR="000B63F5" w:rsidRPr="000B63F5" w:rsidRDefault="000B63F5" w:rsidP="000B63F5">
      <w:pPr>
        <w:widowControl/>
        <w:numPr>
          <w:ilvl w:val="0"/>
          <w:numId w:val="2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"Lista" pode ser usado para que a formatação pré-definida seja corretamente empregada.</w:t>
      </w:r>
    </w:p>
    <w:p w14:paraId="79B1989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possível, também, o uso de alíneas, que obedecem às seguintes indicações:</w:t>
      </w:r>
    </w:p>
    <w:p w14:paraId="2D37A030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Cada item de alínea deve ser ordenado alfabeticamente por letras minúsculas seguidas de parênteses, como neste exemplo;</w:t>
      </w:r>
    </w:p>
    <w:p w14:paraId="4A092847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Use ponto-e-vírgula para separar as alíneas, exceto no último item que deve possuir um ponto final;</w:t>
      </w:r>
    </w:p>
    <w:p w14:paraId="5C5B19A3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 lista de alíneas mantém o espaçamento 1,5 entre as linhas; </w:t>
      </w:r>
    </w:p>
    <w:p w14:paraId="2DF366FF" w14:textId="77777777" w:rsidR="000B63F5" w:rsidRPr="000B63F5" w:rsidRDefault="000B63F5" w:rsidP="000B63F5">
      <w:pPr>
        <w:widowControl/>
        <w:numPr>
          <w:ilvl w:val="0"/>
          <w:numId w:val="3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estilo "Alínea" constante deste documento pode ser usado para a aplicação automática da formatação correta de alíneas.</w:t>
      </w:r>
    </w:p>
    <w:p w14:paraId="6DC303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No caso de nova lista de alíneas, a lista alfabética deve ser reiniciada. Veja em seu editor como fazer isso:</w:t>
      </w:r>
    </w:p>
    <w:p w14:paraId="6D788DE7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Uma nova alínea, assim, recomeça a partir da letra a);</w:t>
      </w:r>
    </w:p>
    <w:p w14:paraId="44E8B58D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itens de alínea são separados entre si por ponto-e-vírgula;</w:t>
      </w:r>
    </w:p>
    <w:p w14:paraId="2E89CBF3" w14:textId="77777777" w:rsidR="000B63F5" w:rsidRPr="000B63F5" w:rsidRDefault="000B63F5" w:rsidP="000B63F5">
      <w:pPr>
        <w:widowControl/>
        <w:numPr>
          <w:ilvl w:val="0"/>
          <w:numId w:val="4"/>
        </w:numPr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último item de alínea pode terminar com ponto, dependendo de como segue a escrita do texto.</w:t>
      </w:r>
    </w:p>
    <w:p w14:paraId="7761E810" w14:textId="77777777" w:rsidR="000B63F5" w:rsidRPr="000B63F5" w:rsidRDefault="000B63F5" w:rsidP="000B63F5">
      <w:pPr>
        <w:widowControl/>
        <w:autoSpaceDE/>
        <w:autoSpaceDN/>
        <w:spacing w:line="360" w:lineRule="auto"/>
        <w:ind w:left="720"/>
        <w:jc w:val="both"/>
        <w:rPr>
          <w:color w:val="333333"/>
          <w:sz w:val="24"/>
          <w:szCs w:val="24"/>
          <w:lang w:val="pt-BR" w:eastAsia="pt-BR" w:bidi="ar-SA"/>
        </w:rPr>
      </w:pPr>
    </w:p>
    <w:p w14:paraId="0210B643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strike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5. Formatação de ilustrações</w:t>
      </w:r>
    </w:p>
    <w:p w14:paraId="562CD2F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ilustrações devem possuir títulos (cabeçalhos) localizados na parte superior antecedidos da palavra que o designa (tabela, figura, esquema, fluxograma, imagem, etc.), seguidos do número de ordem de ocorrência no texto, em algarismos arábicos e travessão, que serve para separação do título. </w:t>
      </w:r>
    </w:p>
    <w:p w14:paraId="10A681D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 título da tabela deve indicar a natureza e abrangência geográfica e temporal dos dados numéricos, não deve conter abreviações, apenas descrição por extenso de forma clara e objetiva.</w:t>
      </w:r>
    </w:p>
    <w:p w14:paraId="5ED0B8E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As fontes consultadas são obrigatórias, mesmo que seja de produção do próprio autor, devem estar localizadas na parte inferior contendo notas e outras informações necessárias à sua compreensão (caso aplicável).</w:t>
      </w:r>
    </w:p>
    <w:p w14:paraId="08514F0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Essas ilustrações, bem como seus respectivos títulos e fontes consultadas, devem ser centralizadas na página (ver exemplos da Figura 1 e Tabela 1). Deve-se utilizar fonte Times New Roman, tamanho 10, centralizada e não levam ponto final. Use, para isso, os estilos sugeridos "Figura" ou "Tabela" conforme descritos abaixo. Mantendo-se o espaçamento de 1,5 linhas. </w:t>
      </w:r>
    </w:p>
    <w:p w14:paraId="3252923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Importante: as ilustrações devem ser chamadas com as suas numerações no texto e deve ser evitado o uso de objetos "flutuando sobre o texto". Em vez disso, as ilustrações devem ser inseridas "alinhadas com o texto". Veja em seu editor de textos como fazer isso.</w:t>
      </w:r>
    </w:p>
    <w:p w14:paraId="7FB503B5" w14:textId="77777777" w:rsidR="00F42263" w:rsidRDefault="00F42263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9159F96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t>Figura 1 - Exemplo de figura</w:t>
      </w:r>
    </w:p>
    <w:p w14:paraId="6D97F815" w14:textId="77777777" w:rsidR="000B63F5" w:rsidRPr="000B63F5" w:rsidRDefault="000B63F5" w:rsidP="000B63F5">
      <w:pPr>
        <w:widowControl/>
        <w:autoSpaceDE/>
        <w:autoSpaceDN/>
        <w:spacing w:line="360" w:lineRule="auto"/>
        <w:ind w:left="318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noProof/>
          <w:color w:val="333333"/>
          <w:sz w:val="20"/>
          <w:szCs w:val="20"/>
          <w:lang w:val="pt-BR" w:eastAsia="pt-BR" w:bidi="ar-SA"/>
        </w:rPr>
        <w:drawing>
          <wp:inline distT="0" distB="0" distL="0" distR="0" wp14:anchorId="25C5BEC3" wp14:editId="2E3414B6">
            <wp:extent cx="4133850" cy="1666875"/>
            <wp:effectExtent l="19050" t="0" r="0" b="0"/>
            <wp:docPr id="6" name="Imagem 6" descr="graph_model_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_model_art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63F5">
        <w:rPr>
          <w:color w:val="333333"/>
          <w:sz w:val="20"/>
          <w:szCs w:val="20"/>
          <w:lang w:val="pt-BR" w:eastAsia="pt-BR" w:bidi="ar-SA"/>
        </w:rPr>
        <w:br/>
        <w:t xml:space="preserve">Fonte: Adaptado de Mays </w:t>
      </w:r>
      <w:r w:rsidRPr="000B63F5">
        <w:rPr>
          <w:i/>
          <w:color w:val="333333"/>
          <w:sz w:val="20"/>
          <w:szCs w:val="20"/>
          <w:lang w:val="pt-BR" w:eastAsia="pt-BR" w:bidi="ar-SA"/>
        </w:rPr>
        <w:t xml:space="preserve">apud </w:t>
      </w:r>
      <w:proofErr w:type="spellStart"/>
      <w:r w:rsidRPr="000B63F5">
        <w:rPr>
          <w:color w:val="333333"/>
          <w:sz w:val="20"/>
          <w:szCs w:val="20"/>
          <w:lang w:val="pt-BR" w:eastAsia="pt-BR" w:bidi="ar-SA"/>
        </w:rPr>
        <w:t>Greenhalg</w:t>
      </w:r>
      <w:proofErr w:type="spellEnd"/>
      <w:r w:rsidRPr="000B63F5">
        <w:rPr>
          <w:color w:val="333333"/>
          <w:sz w:val="20"/>
          <w:szCs w:val="20"/>
          <w:lang w:val="pt-BR" w:eastAsia="pt-BR" w:bidi="ar-SA"/>
        </w:rPr>
        <w:t xml:space="preserve"> (1997)</w:t>
      </w:r>
    </w:p>
    <w:p w14:paraId="7A153F7A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</w:p>
    <w:p w14:paraId="1C312348" w14:textId="77777777" w:rsidR="000B63F5" w:rsidRPr="000B63F5" w:rsidRDefault="000B63F5" w:rsidP="000B63F5">
      <w:pPr>
        <w:widowControl/>
        <w:autoSpaceDE/>
        <w:autoSpaceDN/>
        <w:spacing w:line="360" w:lineRule="auto"/>
        <w:ind w:left="317"/>
        <w:jc w:val="center"/>
        <w:rPr>
          <w:color w:val="333333"/>
          <w:sz w:val="20"/>
          <w:szCs w:val="20"/>
          <w:lang w:val="pt-BR" w:eastAsia="pt-BR" w:bidi="ar-SA"/>
        </w:rPr>
      </w:pPr>
      <w:r w:rsidRPr="000B63F5">
        <w:rPr>
          <w:color w:val="333333"/>
          <w:sz w:val="20"/>
          <w:szCs w:val="20"/>
          <w:lang w:val="pt-BR" w:eastAsia="pt-BR" w:bidi="ar-SA"/>
        </w:rPr>
        <w:lastRenderedPageBreak/>
        <w:t>Tabela 1 - Exemplo de tabela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B63F5" w:rsidRPr="000B63F5" w14:paraId="5AEB86C8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242353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A4D06F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811B8C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jc w:val="both"/>
              <w:rPr>
                <w:b/>
                <w:bCs/>
                <w:sz w:val="20"/>
                <w:szCs w:val="20"/>
                <w:lang w:val="pt-BR" w:eastAsia="pt-BR" w:bidi="ar-SA"/>
              </w:rPr>
            </w:pPr>
            <w:r w:rsidRPr="000B63F5">
              <w:rPr>
                <w:b/>
                <w:bCs/>
                <w:color w:val="333333"/>
                <w:sz w:val="20"/>
                <w:szCs w:val="20"/>
                <w:lang w:val="pt-BR" w:eastAsia="pt-BR" w:bidi="ar-SA"/>
              </w:rPr>
              <w:t>Percentual</w:t>
            </w:r>
          </w:p>
        </w:tc>
      </w:tr>
      <w:tr w:rsidR="000B63F5" w:rsidRPr="000B63F5" w14:paraId="5E584A6E" w14:textId="77777777" w:rsidTr="00D125F3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89E9FA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024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B52461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7,9%</w:t>
            </w:r>
          </w:p>
        </w:tc>
      </w:tr>
      <w:tr w:rsidR="000B63F5" w:rsidRPr="000B63F5" w14:paraId="5896A893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2C48E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9F4E7A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68050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12,3%</w:t>
            </w:r>
          </w:p>
        </w:tc>
      </w:tr>
      <w:tr w:rsidR="000B63F5" w:rsidRPr="000B63F5" w14:paraId="550B8C80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CDFBFA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4860DD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B8DD3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19,5%</w:t>
            </w:r>
          </w:p>
        </w:tc>
      </w:tr>
      <w:tr w:rsidR="000B63F5" w:rsidRPr="000B63F5" w14:paraId="6E1D5057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19FE91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47C203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EAD5EB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44,8%</w:t>
            </w:r>
          </w:p>
        </w:tc>
      </w:tr>
      <w:tr w:rsidR="000B63F5" w:rsidRPr="000B63F5" w14:paraId="79A5B7A6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A00DBE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C20D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C4CAD2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11,9%</w:t>
            </w:r>
          </w:p>
        </w:tc>
      </w:tr>
      <w:tr w:rsidR="000B63F5" w:rsidRPr="000B63F5" w14:paraId="6E8398DF" w14:textId="77777777" w:rsidTr="00D125F3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65834194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7777C8B8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8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95C21A5" w14:textId="77777777" w:rsidR="000B63F5" w:rsidRPr="000B63F5" w:rsidRDefault="000B63F5" w:rsidP="000B63F5">
            <w:pPr>
              <w:widowControl/>
              <w:autoSpaceDE/>
              <w:autoSpaceDN/>
              <w:spacing w:line="360" w:lineRule="auto"/>
              <w:ind w:left="317"/>
              <w:jc w:val="both"/>
              <w:rPr>
                <w:color w:val="333333"/>
                <w:sz w:val="20"/>
                <w:szCs w:val="20"/>
                <w:lang w:val="pt-BR" w:eastAsia="pt-BR" w:bidi="ar-SA"/>
              </w:rPr>
            </w:pPr>
            <w:r w:rsidRPr="000B63F5">
              <w:rPr>
                <w:color w:val="333333"/>
                <w:sz w:val="20"/>
                <w:szCs w:val="20"/>
                <w:lang w:val="pt-BR" w:eastAsia="pt-BR" w:bidi="ar-SA"/>
              </w:rPr>
              <w:t>3,6%</w:t>
            </w:r>
          </w:p>
        </w:tc>
      </w:tr>
    </w:tbl>
    <w:p w14:paraId="498C8C5C" w14:textId="77777777" w:rsidR="000B63F5" w:rsidRPr="000B63F5" w:rsidRDefault="000B63F5" w:rsidP="000B63F5">
      <w:pPr>
        <w:widowControl/>
        <w:autoSpaceDE/>
        <w:autoSpaceDN/>
        <w:spacing w:line="360" w:lineRule="auto"/>
        <w:jc w:val="center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Fonte: Adaptado de Mays </w:t>
      </w:r>
      <w:r w:rsidRPr="000B63F5">
        <w:rPr>
          <w:bCs/>
          <w:i/>
          <w:color w:val="333333"/>
          <w:sz w:val="20"/>
          <w:szCs w:val="20"/>
          <w:lang w:val="pt-BR" w:eastAsia="pt-BR" w:bidi="ar-SA"/>
        </w:rPr>
        <w:t xml:space="preserve">apud </w:t>
      </w:r>
      <w:proofErr w:type="spellStart"/>
      <w:r w:rsidRPr="000B63F5">
        <w:rPr>
          <w:bCs/>
          <w:color w:val="333333"/>
          <w:sz w:val="20"/>
          <w:szCs w:val="20"/>
          <w:lang w:val="pt-BR" w:eastAsia="pt-BR" w:bidi="ar-SA"/>
        </w:rPr>
        <w:t>Greenhalg</w:t>
      </w:r>
      <w:proofErr w:type="spellEnd"/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(1997)</w:t>
      </w:r>
    </w:p>
    <w:p w14:paraId="2FF18E3F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60EAE52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6. Submissão e classificação dos artigos</w:t>
      </w:r>
    </w:p>
    <w:p w14:paraId="2E65A99D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Os artigos podem ser submetidos em português, espanhol e inglês. </w:t>
      </w:r>
    </w:p>
    <w:p w14:paraId="0D28B877" w14:textId="0E582276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Se respeitados os limites apresentados na seção 2, serão considerados como propostos para o XL</w:t>
      </w:r>
      <w:r w:rsidR="00B76A43">
        <w:rPr>
          <w:color w:val="333333"/>
          <w:sz w:val="24"/>
          <w:szCs w:val="24"/>
          <w:lang w:val="pt-BR" w:eastAsia="pt-BR" w:bidi="ar-SA"/>
        </w:rPr>
        <w:t>I</w:t>
      </w:r>
      <w:r w:rsidR="002B3092">
        <w:rPr>
          <w:color w:val="333333"/>
          <w:sz w:val="24"/>
          <w:szCs w:val="24"/>
          <w:lang w:val="pt-BR" w:eastAsia="pt-BR" w:bidi="ar-SA"/>
        </w:rPr>
        <w:t>I</w:t>
      </w:r>
      <w:r w:rsidR="00B76A43">
        <w:rPr>
          <w:color w:val="333333"/>
          <w:sz w:val="24"/>
          <w:szCs w:val="24"/>
          <w:lang w:val="pt-BR" w:eastAsia="pt-BR" w:bidi="ar-SA"/>
        </w:rPr>
        <w:t>I</w:t>
      </w:r>
      <w:r w:rsidRPr="000B63F5">
        <w:rPr>
          <w:color w:val="333333"/>
          <w:sz w:val="24"/>
          <w:szCs w:val="24"/>
          <w:lang w:val="pt-BR" w:eastAsia="pt-BR" w:bidi="ar-SA"/>
        </w:rPr>
        <w:t xml:space="preserve"> ENEGEP e seguirão, portanto, o seu processo de avaliação. Os artigos aprovados serão publicados nos Anais do evento.</w:t>
      </w:r>
    </w:p>
    <w:p w14:paraId="6E396B3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É importante salientar que poderá ser enviado um número ilimitado de artigos, porém no máximo 6 (seis) artigos poderão ser aprovados por autor (não importando em qual relação de autoria), valendo os artigos de pontuação mais alta. Vale ressaltar que, considerando-se que artigos de WPG serão elaborados por pesquisadores sênior, a nota de corte e o rigor de avaliação podem ser maiores.</w:t>
      </w:r>
    </w:p>
    <w:p w14:paraId="2BD23F5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3BD404D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7. Agradecimentos</w:t>
      </w:r>
    </w:p>
    <w:p w14:paraId="4FCA2343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Podem ser inseridos tanto no início do texto quando logo antes das referências bibliográficas. Devido a regra que impossibilita alterações em artigos já submetidos após findo o processo de submissão, sugerimos que possíveis apoios a serem recebidos já sejam inseridos no corpo do artigo no momento da submissão. </w:t>
      </w:r>
    </w:p>
    <w:p w14:paraId="18B7B0E9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</w:p>
    <w:p w14:paraId="5A0A9F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8. Citações e formatação das referências</w:t>
      </w:r>
    </w:p>
    <w:p w14:paraId="64A44E48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De acordo com Fulano (2011), citar corretamente a literatura é muito importante. </w:t>
      </w:r>
    </w:p>
    <w:p w14:paraId="0E5C0E4E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A citação de autores ao longo do texto é feita em letras minúsculas, enquanto que a citação de autores entre parêntese ao final do parágrafo deve ser feita em letra maiúscula.</w:t>
      </w:r>
    </w:p>
    <w:p w14:paraId="7C9D7A4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Citar trechos de trabalhos de outros autores, sem referenciar adequadamente, pode ser enquadrado como plágio (FULANO; BELTRANO, 2012).</w:t>
      </w:r>
    </w:p>
    <w:p w14:paraId="40683175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lastRenderedPageBreak/>
        <w:t>Para as referências, ao final do artigo, deve-se utilizar texto com fonte Times New Roman, tamanho 10, espaçamento 1,5 entre as linhas, sendo as referências separadas por uma linha em branco, exatamente conforme aparece nas referências aleatórias incluídas a seguir. Diferentemente deste exemplo ilustrativo, somente autores usados no texto devem ser citados nas referências e as referências devem conter todos os autores citados no texto.</w:t>
      </w:r>
    </w:p>
    <w:p w14:paraId="783E3C87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 xml:space="preserve">As referências devem aparecer em ordem alfabética e não devem ser numeradas. Todas as referências citadas no texto, e apenas estas, devem ser incluídas ao final, na seção Referências. </w:t>
      </w:r>
    </w:p>
    <w:p w14:paraId="06A4FDE2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</w:p>
    <w:p w14:paraId="02AC7DE1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REFERÊNCIAS</w:t>
      </w:r>
    </w:p>
    <w:p w14:paraId="2E65CBC0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As referências são alinhadas somente à margem esquerda do texto e de forma a identificar o documento, separadas por separadas entre si mantendo o espaçamento 1,5 entre as linhas.</w:t>
      </w:r>
    </w:p>
    <w:p w14:paraId="12464246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AZEVEDO, </w:t>
      </w:r>
      <w:proofErr w:type="spellStart"/>
      <w:r w:rsidRPr="000B63F5">
        <w:rPr>
          <w:bCs/>
          <w:color w:val="333333"/>
          <w:sz w:val="20"/>
          <w:szCs w:val="20"/>
          <w:lang w:val="pt-BR" w:eastAsia="pt-BR" w:bidi="ar-SA"/>
        </w:rPr>
        <w:t>Dermi</w:t>
      </w:r>
      <w:proofErr w:type="spellEnd"/>
      <w:r w:rsidRPr="000B63F5">
        <w:rPr>
          <w:bCs/>
          <w:color w:val="333333"/>
          <w:sz w:val="20"/>
          <w:szCs w:val="20"/>
          <w:lang w:val="pt-BR" w:eastAsia="pt-BR" w:bidi="ar-SA"/>
        </w:rPr>
        <w:t>. Sarney Convida Igrejas Cristãs para Diálogo sobre o Pacto.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 Folha de São Paulo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São Paulo, 22 out. 1985. Caderno econômico, p. 13.</w:t>
      </w:r>
    </w:p>
    <w:p w14:paraId="2C69206B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580D6A0F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>OTT, Margot Bertolucci. </w:t>
      </w:r>
      <w:r w:rsidRPr="000B63F5">
        <w:rPr>
          <w:b/>
          <w:color w:val="333333"/>
          <w:sz w:val="20"/>
          <w:szCs w:val="20"/>
          <w:lang w:val="pt-BR" w:eastAsia="pt-BR" w:bidi="ar-SA"/>
        </w:rPr>
        <w:t>T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endências Ideológicas no Ensino de Primeiro Grau.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Porto Alegre: UFRGS, 1983. 214 p. Tese (Doutorado) – Programa de Pós-Graduação em Educação, Faculdade de Educação, Universidade Federal do Rio Grande do Sul, Porto Alegre, 1983.</w:t>
      </w:r>
    </w:p>
    <w:p w14:paraId="15AA9C5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4D3C75BE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MELLO, Luiz Antonio.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A Onda Maldita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: como nasceu a Fluminense FM. Niterói: Arte &amp; Ofício, 1992. Disponível em: &lt;http://www.actech.com.br/aondamaldita/ creditos.html&gt; Acesso em: 13 out. 1997.</w:t>
      </w:r>
    </w:p>
    <w:p w14:paraId="237DE67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2FFE76E3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SCHWARTZMAN, Simon. Como a Universidade Está se Pensando? In: PEREIRA, Antonio Gomes (Org.).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 xml:space="preserve">Para Onde Vai a Universidade </w:t>
      </w:r>
      <w:proofErr w:type="spellStart"/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Basileira</w:t>
      </w:r>
      <w:proofErr w:type="spellEnd"/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?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 Fortaleza: UFC, 1983. p. 29-45.</w:t>
      </w:r>
    </w:p>
    <w:p w14:paraId="5023A347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023BB935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  <w:r w:rsidRPr="000B63F5">
        <w:rPr>
          <w:bCs/>
          <w:color w:val="333333"/>
          <w:sz w:val="20"/>
          <w:szCs w:val="20"/>
          <w:lang w:val="pt-BR" w:eastAsia="pt-BR" w:bidi="ar-SA"/>
        </w:rPr>
        <w:t xml:space="preserve">SAVIANI, Demerval. A Universidade e a Problemática da Educação e Cultura. </w:t>
      </w:r>
      <w:r w:rsidRPr="000B63F5">
        <w:rPr>
          <w:b/>
          <w:bCs/>
          <w:color w:val="333333"/>
          <w:sz w:val="20"/>
          <w:szCs w:val="20"/>
          <w:lang w:val="pt-BR" w:eastAsia="pt-BR" w:bidi="ar-SA"/>
        </w:rPr>
        <w:t>Educação Brasileira</w:t>
      </w:r>
      <w:r w:rsidRPr="000B63F5">
        <w:rPr>
          <w:bCs/>
          <w:color w:val="333333"/>
          <w:sz w:val="20"/>
          <w:szCs w:val="20"/>
          <w:lang w:val="pt-BR" w:eastAsia="pt-BR" w:bidi="ar-SA"/>
        </w:rPr>
        <w:t>, Brasília, v. 1, n. 3, p. 35-58, maio/ago. 1979.</w:t>
      </w:r>
    </w:p>
    <w:p w14:paraId="483CD4A2" w14:textId="77777777" w:rsidR="000B63F5" w:rsidRPr="000B63F5" w:rsidRDefault="000B63F5" w:rsidP="000B63F5">
      <w:pPr>
        <w:widowControl/>
        <w:autoSpaceDE/>
        <w:autoSpaceDN/>
        <w:spacing w:line="360" w:lineRule="auto"/>
        <w:outlineLvl w:val="1"/>
        <w:rPr>
          <w:bCs/>
          <w:color w:val="333333"/>
          <w:sz w:val="20"/>
          <w:szCs w:val="20"/>
          <w:lang w:val="pt-BR" w:eastAsia="pt-BR" w:bidi="ar-SA"/>
        </w:rPr>
      </w:pPr>
    </w:p>
    <w:p w14:paraId="60B63566" w14:textId="77777777" w:rsidR="000B63F5" w:rsidRPr="000B63F5" w:rsidRDefault="000B63F5" w:rsidP="000B63F5">
      <w:pPr>
        <w:widowControl/>
        <w:autoSpaceDE/>
        <w:autoSpaceDN/>
        <w:spacing w:line="360" w:lineRule="auto"/>
        <w:jc w:val="both"/>
        <w:outlineLvl w:val="1"/>
        <w:rPr>
          <w:b/>
          <w:bCs/>
          <w:color w:val="333333"/>
          <w:sz w:val="24"/>
          <w:szCs w:val="24"/>
          <w:lang w:val="pt-BR" w:eastAsia="pt-BR" w:bidi="ar-SA"/>
        </w:rPr>
      </w:pPr>
      <w:r w:rsidRPr="000B63F5">
        <w:rPr>
          <w:b/>
          <w:bCs/>
          <w:color w:val="333333"/>
          <w:sz w:val="24"/>
          <w:szCs w:val="24"/>
          <w:lang w:val="pt-BR" w:eastAsia="pt-BR" w:bidi="ar-SA"/>
        </w:rPr>
        <w:t>ANEXO</w:t>
      </w:r>
    </w:p>
    <w:p w14:paraId="492B8623" w14:textId="35D9A922" w:rsidR="000B63F5" w:rsidRPr="000B63F5" w:rsidRDefault="000B63F5" w:rsidP="000B63F5">
      <w:pPr>
        <w:widowControl/>
        <w:autoSpaceDE/>
        <w:autoSpaceDN/>
        <w:spacing w:line="360" w:lineRule="auto"/>
        <w:jc w:val="both"/>
        <w:rPr>
          <w:color w:val="333333"/>
          <w:sz w:val="24"/>
          <w:szCs w:val="24"/>
          <w:lang w:val="pt-BR" w:eastAsia="pt-BR" w:bidi="ar-SA"/>
        </w:rPr>
      </w:pPr>
      <w:r w:rsidRPr="000B63F5">
        <w:rPr>
          <w:color w:val="333333"/>
          <w:sz w:val="24"/>
          <w:szCs w:val="24"/>
          <w:lang w:val="pt-BR" w:eastAsia="pt-BR" w:bidi="ar-SA"/>
        </w:rPr>
        <w:t>Os anexos devem vir ao final do trabalho</w:t>
      </w:r>
      <w:r w:rsidR="00B76A43">
        <w:rPr>
          <w:color w:val="333333"/>
          <w:sz w:val="24"/>
          <w:szCs w:val="24"/>
          <w:lang w:val="pt-BR" w:eastAsia="pt-BR" w:bidi="ar-SA"/>
        </w:rPr>
        <w:t xml:space="preserve"> e deverão ser contabilizados entre as 14 páginas máximas que o trabalho pode ter.</w:t>
      </w:r>
    </w:p>
    <w:sectPr w:rsidR="000B63F5" w:rsidRPr="000B63F5" w:rsidSect="00820EE4">
      <w:headerReference w:type="default" r:id="rId8"/>
      <w:footerReference w:type="default" r:id="rId9"/>
      <w:pgSz w:w="11906" w:h="16838" w:code="9"/>
      <w:pgMar w:top="680" w:right="1418" w:bottom="953" w:left="1418" w:header="709" w:footer="709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894C" w14:textId="77777777" w:rsidR="00983FA1" w:rsidRDefault="00983FA1">
      <w:r>
        <w:separator/>
      </w:r>
    </w:p>
  </w:endnote>
  <w:endnote w:type="continuationSeparator" w:id="0">
    <w:p w14:paraId="30C781F6" w14:textId="77777777" w:rsidR="00983FA1" w:rsidRDefault="00983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3403647"/>
      <w:docPartObj>
        <w:docPartGallery w:val="Page Numbers (Bottom of Page)"/>
        <w:docPartUnique/>
      </w:docPartObj>
    </w:sdtPr>
    <w:sdtContent>
      <w:p w14:paraId="46BE7505" w14:textId="77777777" w:rsidR="00820EE4" w:rsidRDefault="00820EE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7342">
          <w:rPr>
            <w:noProof/>
          </w:rPr>
          <w:t>2</w:t>
        </w:r>
        <w:r>
          <w:fldChar w:fldCharType="end"/>
        </w:r>
      </w:p>
    </w:sdtContent>
  </w:sdt>
  <w:p w14:paraId="139C2380" w14:textId="77777777" w:rsidR="00187BBD" w:rsidRDefault="0000000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7F1D" w14:textId="77777777" w:rsidR="00983FA1" w:rsidRDefault="00983FA1">
      <w:r>
        <w:separator/>
      </w:r>
    </w:p>
  </w:footnote>
  <w:footnote w:type="continuationSeparator" w:id="0">
    <w:p w14:paraId="7D6E3DF3" w14:textId="77777777" w:rsidR="00983FA1" w:rsidRDefault="00983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C9A1" w14:textId="77777777" w:rsidR="002B3092" w:rsidRDefault="00B221EB" w:rsidP="002B3092">
    <w:pPr>
      <w:spacing w:before="72" w:line="185" w:lineRule="exact"/>
      <w:jc w:val="right"/>
      <w:rPr>
        <w:rFonts w:ascii="Trebuchet MS" w:hAnsi="Trebuchet MS"/>
        <w:b/>
        <w:sz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43FF01A" wp14:editId="7B7AF56D">
          <wp:simplePos x="0" y="0"/>
          <wp:positionH relativeFrom="column">
            <wp:posOffset>-548005</wp:posOffset>
          </wp:positionH>
          <wp:positionV relativeFrom="paragraph">
            <wp:posOffset>-154940</wp:posOffset>
          </wp:positionV>
          <wp:extent cx="755015" cy="594360"/>
          <wp:effectExtent l="0" t="0" r="6985" b="0"/>
          <wp:wrapTight wrapText="bothSides">
            <wp:wrapPolygon edited="0">
              <wp:start x="9810" y="0"/>
              <wp:lineTo x="7085" y="0"/>
              <wp:lineTo x="3815" y="6231"/>
              <wp:lineTo x="3815" y="11077"/>
              <wp:lineTo x="0" y="13154"/>
              <wp:lineTo x="0" y="20769"/>
              <wp:lineTo x="19620" y="20769"/>
              <wp:lineTo x="21255" y="16615"/>
              <wp:lineTo x="21255" y="11077"/>
              <wp:lineTo x="11990" y="0"/>
              <wp:lineTo x="981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01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77B81">
      <w:rPr>
        <w:rFonts w:ascii="Trebuchet MS"/>
        <w:b/>
        <w:sz w:val="16"/>
      </w:rPr>
      <w:tab/>
    </w:r>
    <w:r>
      <w:rPr>
        <w:rFonts w:ascii="Trebuchet MS"/>
        <w:b/>
        <w:sz w:val="16"/>
      </w:rPr>
      <w:t xml:space="preserve">    </w:t>
    </w:r>
    <w:r w:rsidR="002B3092">
      <w:rPr>
        <w:rFonts w:ascii="Trebuchet MS" w:hAnsi="Trebuchet MS"/>
        <w:b/>
        <w:sz w:val="16"/>
      </w:rPr>
      <w:t>XLIII ENCONTRO NACIONAL DE ENGENHARIA DE</w:t>
    </w:r>
    <w:r w:rsidR="002B3092">
      <w:rPr>
        <w:rFonts w:ascii="Trebuchet MS" w:hAnsi="Trebuchet MS"/>
        <w:b/>
        <w:spacing w:val="-13"/>
        <w:sz w:val="16"/>
      </w:rPr>
      <w:t xml:space="preserve"> </w:t>
    </w:r>
    <w:r w:rsidR="002B3092">
      <w:rPr>
        <w:rFonts w:ascii="Trebuchet MS" w:hAnsi="Trebuchet MS"/>
        <w:b/>
        <w:sz w:val="16"/>
      </w:rPr>
      <w:t>PRODUÇÃO</w:t>
    </w:r>
  </w:p>
  <w:p w14:paraId="63F5DC2F" w14:textId="77777777" w:rsidR="002B3092" w:rsidRDefault="002B3092" w:rsidP="002B3092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 xml:space="preserve"> "A contribuição da engenharia de produção para desenvolvimento sustentável </w:t>
    </w:r>
  </w:p>
  <w:p w14:paraId="6A0CE7D7" w14:textId="77777777" w:rsidR="002B3092" w:rsidRDefault="002B3092" w:rsidP="002B3092">
    <w:pPr>
      <w:spacing w:line="185" w:lineRule="exact"/>
      <w:ind w:right="102"/>
      <w:jc w:val="right"/>
      <w:rPr>
        <w:rFonts w:ascii="Trebuchet MS" w:hAnsi="Trebuchet MS"/>
        <w:sz w:val="16"/>
      </w:rPr>
    </w:pPr>
    <w:r>
      <w:rPr>
        <w:rFonts w:ascii="Trebuchet MS" w:hAnsi="Trebuchet MS"/>
        <w:sz w:val="16"/>
      </w:rPr>
      <w:t>das organizações: Cadeias Circulares, sustentabilidade e tecnologias"</w:t>
    </w:r>
  </w:p>
  <w:p w14:paraId="0C270B1C" w14:textId="6DAEDCC2" w:rsidR="002B3092" w:rsidRPr="001F5DF6" w:rsidRDefault="002B3092" w:rsidP="001F5DF6">
    <w:pPr>
      <w:spacing w:line="185" w:lineRule="exact"/>
      <w:ind w:right="102"/>
      <w:jc w:val="right"/>
      <w:rPr>
        <w:rFonts w:ascii="Trebuchet MS" w:hAnsi="Trebuchet MS" w:cs="Arial"/>
        <w:color w:val="808080"/>
        <w:sz w:val="16"/>
        <w:szCs w:val="18"/>
      </w:rPr>
    </w:pPr>
    <w:r>
      <w:rPr>
        <w:rFonts w:ascii="Trebuchet MS" w:hAnsi="Trebuchet MS" w:cs="Arial"/>
        <w:color w:val="808080"/>
        <w:sz w:val="16"/>
        <w:szCs w:val="18"/>
      </w:rPr>
      <w:t>Fortaleza, Ceará, Brasil, 1</w:t>
    </w:r>
    <w:r w:rsidR="001F5DF6">
      <w:rPr>
        <w:rFonts w:ascii="Trebuchet MS" w:hAnsi="Trebuchet MS" w:cs="Arial"/>
        <w:color w:val="808080"/>
        <w:sz w:val="16"/>
        <w:szCs w:val="18"/>
      </w:rPr>
      <w:t>7</w:t>
    </w:r>
    <w:r>
      <w:rPr>
        <w:rFonts w:ascii="Trebuchet MS" w:hAnsi="Trebuchet MS" w:cs="Arial"/>
        <w:color w:val="808080"/>
        <w:sz w:val="16"/>
        <w:szCs w:val="18"/>
      </w:rPr>
      <w:t xml:space="preserve"> a </w:t>
    </w:r>
    <w:r w:rsidR="001F5DF6">
      <w:rPr>
        <w:rFonts w:ascii="Trebuchet MS" w:hAnsi="Trebuchet MS" w:cs="Arial"/>
        <w:color w:val="808080"/>
        <w:sz w:val="16"/>
        <w:szCs w:val="18"/>
      </w:rPr>
      <w:t>20</w:t>
    </w:r>
    <w:r>
      <w:rPr>
        <w:rFonts w:ascii="Trebuchet MS" w:hAnsi="Trebuchet MS" w:cs="Arial"/>
        <w:color w:val="808080"/>
        <w:sz w:val="16"/>
        <w:szCs w:val="18"/>
      </w:rPr>
      <w:t xml:space="preserve"> de outubro de 2023.</w:t>
    </w:r>
  </w:p>
  <w:p w14:paraId="4119231D" w14:textId="3BB0639B" w:rsidR="0040245D" w:rsidRPr="002B3092" w:rsidRDefault="00C871C5" w:rsidP="002B3092">
    <w:pPr>
      <w:spacing w:before="72" w:line="185" w:lineRule="exact"/>
      <w:rPr>
        <w:rFonts w:ascii="Trebuchet MS" w:hAnsi="Trebuchet MS" w:cs="Arial"/>
        <w:b/>
        <w:sz w:val="16"/>
        <w:szCs w:val="18"/>
      </w:rPr>
    </w:pPr>
    <w:r>
      <w:rPr>
        <w:rFonts w:ascii="Trebuchet MS" w:hAnsi="Trebuchet MS" w:cs="Arial"/>
        <w:b/>
        <w:sz w:val="16"/>
        <w:szCs w:val="18"/>
      </w:rPr>
      <w:t xml:space="preserve">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C5243"/>
    <w:multiLevelType w:val="multilevel"/>
    <w:tmpl w:val="68E8EE4E"/>
    <w:lvl w:ilvl="0">
      <w:start w:val="1"/>
      <w:numFmt w:val="decimal"/>
      <w:lvlText w:val="%1."/>
      <w:lvlJc w:val="left"/>
      <w:pPr>
        <w:ind w:left="1178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298" w:hanging="36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280" w:hanging="36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261" w:hanging="36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42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222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203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184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164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35A07F4F"/>
    <w:multiLevelType w:val="hybridMultilevel"/>
    <w:tmpl w:val="A404C38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12812"/>
    <w:multiLevelType w:val="hybridMultilevel"/>
    <w:tmpl w:val="06CC06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67233A"/>
    <w:multiLevelType w:val="hybridMultilevel"/>
    <w:tmpl w:val="1BD62E1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0212822">
    <w:abstractNumId w:val="0"/>
  </w:num>
  <w:num w:numId="2" w16cid:durableId="992102158">
    <w:abstractNumId w:val="2"/>
  </w:num>
  <w:num w:numId="3" w16cid:durableId="689337349">
    <w:abstractNumId w:val="1"/>
  </w:num>
  <w:num w:numId="4" w16cid:durableId="1883319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D02"/>
    <w:rsid w:val="00092D9B"/>
    <w:rsid w:val="000B63F5"/>
    <w:rsid w:val="00156D02"/>
    <w:rsid w:val="001D4C26"/>
    <w:rsid w:val="001F5DF6"/>
    <w:rsid w:val="00284420"/>
    <w:rsid w:val="002B3092"/>
    <w:rsid w:val="00314862"/>
    <w:rsid w:val="00437342"/>
    <w:rsid w:val="004A6B45"/>
    <w:rsid w:val="005665B2"/>
    <w:rsid w:val="00694D0A"/>
    <w:rsid w:val="00774227"/>
    <w:rsid w:val="00777B81"/>
    <w:rsid w:val="00820EE4"/>
    <w:rsid w:val="00821702"/>
    <w:rsid w:val="00983FA1"/>
    <w:rsid w:val="00AB442A"/>
    <w:rsid w:val="00AE45BD"/>
    <w:rsid w:val="00B221EB"/>
    <w:rsid w:val="00B76A43"/>
    <w:rsid w:val="00B90B41"/>
    <w:rsid w:val="00C871C5"/>
    <w:rsid w:val="00F42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3D1F88A9"/>
  <w15:docId w15:val="{16AC70FF-A288-4DCD-AFFD-66F79F7D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178" w:hanging="241"/>
      <w:jc w:val="both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B63F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78" w:hanging="241"/>
      <w:jc w:val="both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Hyperlink">
    <w:name w:val="Hyperlink"/>
    <w:basedOn w:val="Fontepargpadro"/>
    <w:uiPriority w:val="99"/>
    <w:unhideWhenUsed/>
    <w:rsid w:val="000B63F5"/>
    <w:rPr>
      <w:color w:val="0000FF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B63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CabealhoChar">
    <w:name w:val="Cabeçalho Char"/>
    <w:basedOn w:val="Fontepargpadro"/>
    <w:link w:val="Cabealho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Rodap">
    <w:name w:val="footer"/>
    <w:basedOn w:val="Normal"/>
    <w:link w:val="RodapChar"/>
    <w:uiPriority w:val="99"/>
    <w:rsid w:val="000B63F5"/>
    <w:pPr>
      <w:widowControl/>
      <w:tabs>
        <w:tab w:val="center" w:pos="4252"/>
        <w:tab w:val="right" w:pos="8504"/>
      </w:tabs>
      <w:autoSpaceDE/>
      <w:autoSpaceDN/>
    </w:pPr>
    <w:rPr>
      <w:sz w:val="24"/>
      <w:szCs w:val="24"/>
      <w:lang w:val="pt-BR" w:eastAsia="pt-BR" w:bidi="ar-SA"/>
    </w:rPr>
  </w:style>
  <w:style w:type="character" w:customStyle="1" w:styleId="RodapChar">
    <w:name w:val="Rodapé Char"/>
    <w:basedOn w:val="Fontepargpadro"/>
    <w:link w:val="Rodap"/>
    <w:uiPriority w:val="99"/>
    <w:rsid w:val="000B63F5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figura">
    <w:name w:val="figura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Forte">
    <w:name w:val="Strong"/>
    <w:uiPriority w:val="22"/>
    <w:qFormat/>
    <w:rsid w:val="000B63F5"/>
    <w:rPr>
      <w:b/>
      <w:bCs/>
    </w:rPr>
  </w:style>
  <w:style w:type="paragraph" w:customStyle="1" w:styleId="tabelacabealho">
    <w:name w:val="tabelacabealh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paragraph" w:customStyle="1" w:styleId="tabelacorpo">
    <w:name w:val="tabelacorpo"/>
    <w:basedOn w:val="Normal"/>
    <w:rsid w:val="000B63F5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sz w:val="17"/>
      <w:szCs w:val="17"/>
      <w:lang w:val="pt-BR" w:eastAsia="pt-BR" w:bidi="ar-SA"/>
    </w:rPr>
  </w:style>
  <w:style w:type="character" w:styleId="Nmerodelinha">
    <w:name w:val="line number"/>
    <w:basedOn w:val="Fontepargpadro"/>
    <w:uiPriority w:val="99"/>
    <w:semiHidden/>
    <w:unhideWhenUsed/>
    <w:rsid w:val="0082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1486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Titulo</vt:lpstr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subject>Resumo</dc:subject>
  <dc:creator>Mathias</dc:creator>
  <cp:lastModifiedBy>Roberto Fuentes</cp:lastModifiedBy>
  <cp:revision>12</cp:revision>
  <dcterms:created xsi:type="dcterms:W3CDTF">2020-02-20T16:53:00Z</dcterms:created>
  <dcterms:modified xsi:type="dcterms:W3CDTF">2023-02-28T22:02:00Z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2020-02-20T00:00:00Z</vt:filetime>
  </property>
</Properties>
</file>